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PER003 - PERÚ CLÁSICO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06 DÍAS – 05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870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7">
      <w:pPr>
        <w:spacing w:after="0" w:line="240" w:lineRule="auto"/>
        <w:rPr>
          <w:b w:val="1"/>
        </w:rPr>
      </w:pPr>
      <w:r w:rsidDel="00000000" w:rsidR="00000000" w:rsidRPr="00000000">
        <w:rPr>
          <w:b w:val="1"/>
        </w:rPr>
        <w:drawing>
          <wp:inline distB="0" distT="0" distL="114300" distR="114300">
            <wp:extent cx="5192213" cy="1394051"/>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92213" cy="1394051"/>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Una travesía clásica conecta lo antiguo con lo contemporáneo. Las calles de Lima y Cusco revelan historias que se entrelazan con la grandeza de Machu Picchu. Cada paso invita a vivir la autenticidad del Perú, paisajes y tradiciones que dejan una huella imborrable en la memoria.</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5"/>
        <w:gridCol w:w="1725"/>
        <w:gridCol w:w="1650"/>
        <w:gridCol w:w="1530"/>
        <w:tblGridChange w:id="0">
          <w:tblGrid>
            <w:gridCol w:w="3495"/>
            <w:gridCol w:w="1725"/>
            <w:gridCol w:w="1650"/>
            <w:gridCol w:w="1530"/>
          </w:tblGrid>
        </w:tblGridChange>
      </w:tblGrid>
      <w:tr>
        <w:trPr>
          <w:cantSplit w:val="0"/>
          <w:trHeight w:val="256.7088607594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870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990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910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1.250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1.010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910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1.370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1.060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990</w:t>
            </w:r>
          </w:p>
        </w:tc>
      </w:tr>
      <w:tr>
        <w:trPr>
          <w:cantSplit w:val="0"/>
          <w:trHeight w:val="217.215189873417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1.200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1.100</w:t>
            </w:r>
          </w:p>
        </w:tc>
      </w:tr>
      <w:tr>
        <w:trPr>
          <w:cantSplit w:val="0"/>
          <w:trHeight w:val="79.815266927083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1.950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1.160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D">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04 Traslados in/out + Visita a la ciudad de Lima</w:t>
      </w:r>
    </w:p>
    <w:p w:rsidR="00000000" w:rsidDel="00000000" w:rsidP="00000000" w:rsidRDefault="00000000" w:rsidRPr="00000000" w14:paraId="0000002E">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0">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y ruinas cercanas</w:t>
      </w:r>
    </w:p>
    <w:p w:rsidR="00000000" w:rsidDel="00000000" w:rsidP="00000000" w:rsidRDefault="00000000" w:rsidRPr="00000000" w14:paraId="00000031">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r>
    </w:p>
    <w:p w:rsidR="00000000" w:rsidDel="00000000" w:rsidP="00000000" w:rsidRDefault="00000000" w:rsidRPr="00000000" w14:paraId="00000032">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33">
      <w:pPr>
        <w:spacing w:after="0" w:line="240" w:lineRule="auto"/>
        <w:rPr>
          <w:b w:val="1"/>
        </w:rPr>
      </w:pPr>
      <w:r w:rsidDel="00000000" w:rsidR="00000000" w:rsidRPr="00000000">
        <w:rPr>
          <w:rtl w:val="0"/>
        </w:rPr>
      </w:r>
    </w:p>
    <w:p w:rsidR="00000000" w:rsidDel="00000000" w:rsidP="00000000" w:rsidRDefault="00000000" w:rsidRPr="00000000" w14:paraId="00000034">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5">
      <w:pPr>
        <w:numPr>
          <w:ilvl w:val="0"/>
          <w:numId w:val="5"/>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6">
      <w:pPr>
        <w:numPr>
          <w:ilvl w:val="0"/>
          <w:numId w:val="5"/>
        </w:numPr>
        <w:spacing w:after="0" w:line="240" w:lineRule="auto"/>
        <w:ind w:left="720" w:hanging="360"/>
        <w:jc w:val="both"/>
      </w:pPr>
      <w:r w:rsidDel="00000000" w:rsidR="00000000" w:rsidRPr="00000000">
        <w:rPr>
          <w:rtl w:val="0"/>
        </w:rPr>
        <w:t xml:space="preserve">Tickets aéreos Lima – Cusco y Cusco – Lima.</w:t>
      </w:r>
    </w:p>
    <w:p w:rsidR="00000000" w:rsidDel="00000000" w:rsidP="00000000" w:rsidRDefault="00000000" w:rsidRPr="00000000" w14:paraId="00000037">
      <w:pPr>
        <w:numPr>
          <w:ilvl w:val="0"/>
          <w:numId w:val="5"/>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8">
      <w:pPr>
        <w:numPr>
          <w:ilvl w:val="0"/>
          <w:numId w:val="5"/>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9">
      <w:pPr>
        <w:numPr>
          <w:ilvl w:val="0"/>
          <w:numId w:val="5"/>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A">
      <w:pPr>
        <w:spacing w:after="0" w:line="240" w:lineRule="auto"/>
        <w:jc w:val="left"/>
        <w:rPr>
          <w:b w:val="1"/>
        </w:rPr>
      </w:pPr>
      <w:r w:rsidDel="00000000" w:rsidR="00000000" w:rsidRPr="00000000">
        <w:rPr>
          <w:rtl w:val="0"/>
        </w:rPr>
      </w:r>
    </w:p>
    <w:p w:rsidR="00000000" w:rsidDel="00000000" w:rsidP="00000000" w:rsidRDefault="00000000" w:rsidRPr="00000000" w14:paraId="0000003B">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3D">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rtl w:val="0"/>
        </w:rPr>
      </w:r>
    </w:p>
    <w:p w:rsidR="00000000" w:rsidDel="00000000" w:rsidP="00000000" w:rsidRDefault="00000000" w:rsidRPr="00000000" w14:paraId="0000003F">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0">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b w:val="1"/>
          <w:rtl w:val="0"/>
        </w:rPr>
        <w:t xml:space="preserve">DÍA 03. Lima – Cusco.</w:t>
      </w:r>
      <w:r w:rsidDel="00000000" w:rsidR="00000000" w:rsidRPr="00000000">
        <w:rPr>
          <w:rtl w:val="0"/>
        </w:rPr>
        <w:t xml:space="preserve"> </w:t>
      </w:r>
    </w:p>
    <w:p w:rsidR="00000000" w:rsidDel="00000000" w:rsidP="00000000" w:rsidRDefault="00000000" w:rsidRPr="00000000" w14:paraId="00000043">
      <w:pPr>
        <w:spacing w:after="0" w:line="24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b w:val="1"/>
          <w:rtl w:val="0"/>
        </w:rPr>
        <w:t xml:space="preserve">DÍA 04. Cusco – Machu Picchu – Cusco. </w:t>
      </w:r>
    </w:p>
    <w:p w:rsidR="00000000" w:rsidDel="00000000" w:rsidP="00000000" w:rsidRDefault="00000000" w:rsidRPr="00000000" w14:paraId="00000046">
      <w:pPr>
        <w:spacing w:after="0" w:line="24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30 minutos nos transportarán al parque arqueológico, nos tener tiempo suficiente para que nuestro guía nos muestre todas las bellezas naturales, arqueológicas y culturales de un lugar único e incomparable en su género. Luego de la visita, almorzaremos en el pueblo de Aguas Calientes. Retorno a la ciudad del Cusco y traslado al hotel.. </w:t>
      </w:r>
    </w:p>
    <w:p w:rsidR="00000000" w:rsidDel="00000000" w:rsidP="00000000" w:rsidRDefault="00000000" w:rsidRPr="00000000" w14:paraId="00000047">
      <w:pPr>
        <w:spacing w:after="0" w:line="240" w:lineRule="auto"/>
        <w:jc w:val="both"/>
        <w:rPr>
          <w:b w:val="1"/>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DÍA 05. Cusco – Lima. </w:t>
      </w:r>
    </w:p>
    <w:p w:rsidR="00000000" w:rsidDel="00000000" w:rsidP="00000000" w:rsidRDefault="00000000" w:rsidRPr="00000000" w14:paraId="00000049">
      <w:pPr>
        <w:spacing w:after="0" w:line="240" w:lineRule="auto"/>
        <w:jc w:val="both"/>
        <w:rPr/>
      </w:pPr>
      <w:r w:rsidDel="00000000" w:rsidR="00000000" w:rsidRPr="00000000">
        <w:rPr>
          <w:rtl w:val="0"/>
        </w:rPr>
        <w:t xml:space="preserve">Desayuno en el hotel. Traslado al aeropuerto para abordar el vuelo a Lima. Recepción y traslado al hotel. Tarde libre, como recomendación sugerimos realizar un tour opcional a alguno de los Museos de Lima como es el Museo Larco y disfrutar de una deliciosa cena en el Café del Museo.</w:t>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DÍA 06. Lima.</w:t>
      </w:r>
      <w:r w:rsidDel="00000000" w:rsidR="00000000" w:rsidRPr="00000000">
        <w:rPr>
          <w:rtl w:val="0"/>
        </w:rPr>
        <w:t xml:space="preserve"> </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4D">
      <w:pPr>
        <w:spacing w:after="0" w:line="240" w:lineRule="auto"/>
        <w:jc w:val="both"/>
        <w:rPr/>
      </w:pPr>
      <w:r w:rsidDel="00000000" w:rsidR="00000000" w:rsidRPr="00000000">
        <w:rPr>
          <w:rtl w:val="0"/>
        </w:rPr>
        <w:t xml:space="preserve">A la hora indicada, traslado al aeropuerto para abordar el vuelo a…</w:t>
      </w:r>
    </w:p>
    <w:p w:rsidR="00000000" w:rsidDel="00000000" w:rsidP="00000000" w:rsidRDefault="00000000" w:rsidRPr="00000000" w14:paraId="0000004E">
      <w:pPr>
        <w:spacing w:after="0" w:line="240" w:lineRule="auto"/>
        <w:jc w:val="center"/>
        <w:rPr/>
      </w:pPr>
      <w:r w:rsidDel="00000000" w:rsidR="00000000" w:rsidRPr="00000000">
        <w:rPr/>
        <w:drawing>
          <wp:inline distB="0" distT="0" distL="114300" distR="114300">
            <wp:extent cx="3040213" cy="194906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40213" cy="1949068"/>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50">
      <w:pPr>
        <w:spacing w:after="0" w:line="240" w:lineRule="auto"/>
        <w:rPr>
          <w:b w:val="1"/>
        </w:rPr>
      </w:pPr>
      <w:r w:rsidDel="00000000" w:rsidR="00000000" w:rsidRPr="00000000">
        <w:rPr>
          <w:rtl w:val="0"/>
        </w:rPr>
      </w:r>
    </w:p>
    <w:p w:rsidR="00000000" w:rsidDel="00000000" w:rsidP="00000000" w:rsidRDefault="00000000" w:rsidRPr="00000000" w14:paraId="00000051">
      <w:pPr>
        <w:spacing w:after="0" w:line="240" w:lineRule="auto"/>
        <w:rPr>
          <w:b w:val="1"/>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3">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4">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55">
      <w:pPr>
        <w:numPr>
          <w:ilvl w:val="0"/>
          <w:numId w:val="4"/>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56">
      <w:pPr>
        <w:numPr>
          <w:ilvl w:val="0"/>
          <w:numId w:val="4"/>
        </w:numPr>
        <w:spacing w:after="0" w:line="240" w:lineRule="auto"/>
        <w:ind w:left="720" w:hanging="360"/>
        <w:jc w:val="both"/>
      </w:pPr>
      <w:r w:rsidDel="00000000" w:rsidR="00000000" w:rsidRPr="00000000">
        <w:rPr>
          <w:rtl w:val="0"/>
        </w:rPr>
        <w:t xml:space="preserve">*Single Supplement (Pasajero viajando solo) adicional al precio en simple USD $413</w:t>
      </w:r>
    </w:p>
    <w:p w:rsidR="00000000" w:rsidDel="00000000" w:rsidP="00000000" w:rsidRDefault="00000000" w:rsidRPr="00000000" w14:paraId="00000057">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58">
      <w:pPr>
        <w:numPr>
          <w:ilvl w:val="0"/>
          <w:numId w:val="4"/>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59">
      <w:pPr>
        <w:spacing w:after="0" w:line="240" w:lineRule="auto"/>
        <w:rPr>
          <w:b w:val="1"/>
        </w:rPr>
      </w:pPr>
      <w:r w:rsidDel="00000000" w:rsidR="00000000" w:rsidRPr="00000000">
        <w:rPr>
          <w:rtl w:val="0"/>
        </w:rPr>
      </w:r>
    </w:p>
    <w:p w:rsidR="00000000" w:rsidDel="00000000" w:rsidP="00000000" w:rsidRDefault="00000000" w:rsidRPr="00000000" w14:paraId="0000005A">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5B">
      <w:pPr>
        <w:numPr>
          <w:ilvl w:val="0"/>
          <w:numId w:val="1"/>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5C">
      <w:pPr>
        <w:numPr>
          <w:ilvl w:val="0"/>
          <w:numId w:val="1"/>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5D">
      <w:pPr>
        <w:numPr>
          <w:ilvl w:val="0"/>
          <w:numId w:val="1"/>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5E">
      <w:pPr>
        <w:numPr>
          <w:ilvl w:val="0"/>
          <w:numId w:val="1"/>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60">
                <w:pPr>
                  <w:spacing w:after="0" w:line="240" w:lineRule="auto"/>
                  <w:jc w:val="center"/>
                  <w:rPr/>
                </w:pPr>
                <w:r w:rsidDel="00000000" w:rsidR="00000000" w:rsidRPr="00000000">
                  <w:rPr/>
                  <w:drawing>
                    <wp:inline distB="114300" distT="114300" distL="114300" distR="114300">
                      <wp:extent cx="1009650" cy="14478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61">
      <w:pPr>
        <w:numPr>
          <w:ilvl w:val="0"/>
          <w:numId w:val="3"/>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62">
      <w:pPr>
        <w:spacing w:after="0" w:line="240" w:lineRule="auto"/>
        <w:rPr>
          <w:b w:val="1"/>
        </w:rPr>
      </w:pPr>
      <w:r w:rsidDel="00000000" w:rsidR="00000000" w:rsidRPr="00000000">
        <w:rPr>
          <w:rtl w:val="0"/>
        </w:rPr>
      </w:r>
    </w:p>
    <w:p w:rsidR="00000000" w:rsidDel="00000000" w:rsidP="00000000" w:rsidRDefault="00000000" w:rsidRPr="00000000" w14:paraId="00000063">
      <w:pPr>
        <w:spacing w:after="0" w:line="240" w:lineRule="auto"/>
        <w:jc w:val="center"/>
        <w:rPr>
          <w:b w:val="1"/>
        </w:rPr>
      </w:pPr>
      <w:r w:rsidDel="00000000" w:rsidR="00000000" w:rsidRPr="00000000">
        <w:rPr>
          <w:rtl w:val="0"/>
        </w:rPr>
      </w:r>
    </w:p>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HOTELES PREVISTOS O SIMILARES</w:t>
      </w:r>
    </w:p>
    <w:tbl>
      <w:tblPr>
        <w:tblStyle w:val="Table3"/>
        <w:tblW w:w="7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2025"/>
        <w:gridCol w:w="375"/>
        <w:gridCol w:w="1110"/>
        <w:gridCol w:w="1815"/>
        <w:tblGridChange w:id="0">
          <w:tblGrid>
            <w:gridCol w:w="2100"/>
            <w:gridCol w:w="2025"/>
            <w:gridCol w:w="375"/>
            <w:gridCol w:w="1110"/>
            <w:gridCol w:w="181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5">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6">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8">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A">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6B">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6C">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6D">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6E">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6F">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71">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2">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3">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4">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5">
            <w:pPr>
              <w:spacing w:after="0" w:line="240" w:lineRule="auto"/>
              <w:jc w:val="center"/>
              <w:rPr>
                <w:sz w:val="21"/>
                <w:szCs w:val="21"/>
              </w:rPr>
            </w:pPr>
            <w:r w:rsidDel="00000000" w:rsidR="00000000" w:rsidRPr="00000000">
              <w:rPr>
                <w:sz w:val="21"/>
                <w:szCs w:val="21"/>
                <w:rtl w:val="0"/>
              </w:rPr>
              <w:t xml:space="preserve">*Mamasara</w:t>
            </w:r>
          </w:p>
        </w:tc>
      </w:tr>
      <w:tr>
        <w:trPr>
          <w:cantSplit w:val="0"/>
          <w:trHeight w:val="16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77">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78">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7A">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7B">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7C">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7E">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0">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*Sueños del Inca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84">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86">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8A">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8B">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8C">
            <w:pPr>
              <w:spacing w:after="0" w:line="240" w:lineRule="auto"/>
              <w:jc w:val="center"/>
              <w:rPr/>
            </w:pPr>
            <w:r w:rsidDel="00000000" w:rsidR="00000000" w:rsidRPr="00000000">
              <w:rPr>
                <w:rtl w:val="0"/>
              </w:rPr>
              <w:t xml:space="preserve">*Maytaq Wasin</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8E">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*Casa Andina Catedral</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9F">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*Costa del sol ramada</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AD">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B3">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r>
    </w:tbl>
    <w:p w:rsidR="00000000" w:rsidDel="00000000" w:rsidP="00000000" w:rsidRDefault="00000000" w:rsidRPr="00000000" w14:paraId="000000B5">
      <w:pPr>
        <w:spacing w:after="0" w:line="240" w:lineRule="auto"/>
        <w:jc w:val="center"/>
        <w:rPr>
          <w:b w:val="1"/>
        </w:rPr>
      </w:pPr>
      <w:r w:rsidDel="00000000" w:rsidR="00000000" w:rsidRPr="00000000">
        <w:rPr>
          <w:rtl w:val="0"/>
        </w:rPr>
      </w:r>
    </w:p>
    <w:p w:rsidR="00000000" w:rsidDel="00000000" w:rsidP="00000000" w:rsidRDefault="00000000" w:rsidRPr="00000000" w14:paraId="000000B6">
      <w:pPr>
        <w:spacing w:after="0" w:line="240" w:lineRule="auto"/>
        <w:jc w:val="center"/>
        <w:rPr>
          <w:b w:val="1"/>
        </w:rPr>
      </w:pPr>
      <w:r w:rsidDel="00000000" w:rsidR="00000000" w:rsidRPr="00000000">
        <w:rPr>
          <w:rtl w:val="0"/>
        </w:rPr>
      </w:r>
    </w:p>
    <w:p w:rsidR="00000000" w:rsidDel="00000000" w:rsidP="00000000" w:rsidRDefault="00000000" w:rsidRPr="00000000" w14:paraId="000000B7">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B8">
      <w:pPr>
        <w:spacing w:after="0" w:line="240" w:lineRule="auto"/>
        <w:jc w:val="center"/>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BA">
      <w:pPr>
        <w:spacing w:after="0" w:line="240" w:lineRule="auto"/>
        <w:jc w:val="both"/>
        <w:rPr/>
      </w:pP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BC">
      <w:pPr>
        <w:spacing w:after="0" w:line="240" w:lineRule="auto"/>
        <w:jc w:val="both"/>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BE">
      <w:pPr>
        <w:spacing w:after="0" w:line="240" w:lineRule="auto"/>
        <w:jc w:val="both"/>
        <w:rPr/>
      </w:pPr>
      <w:r w:rsidDel="00000000" w:rsidR="00000000" w:rsidRPr="00000000">
        <w:rPr>
          <w:rtl w:val="0"/>
        </w:rPr>
      </w:r>
    </w:p>
    <w:p w:rsidR="00000000" w:rsidDel="00000000" w:rsidP="00000000" w:rsidRDefault="00000000" w:rsidRPr="00000000" w14:paraId="000000B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C0">
      <w:pPr>
        <w:spacing w:after="0" w:line="240" w:lineRule="auto"/>
        <w:jc w:val="both"/>
        <w:rPr/>
      </w:pPr>
      <w:r w:rsidDel="00000000" w:rsidR="00000000" w:rsidRPr="00000000">
        <w:rPr>
          <w:rtl w:val="0"/>
        </w:rPr>
      </w:r>
    </w:p>
    <w:p w:rsidR="00000000" w:rsidDel="00000000" w:rsidP="00000000" w:rsidRDefault="00000000" w:rsidRPr="00000000" w14:paraId="000000C1">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C2">
      <w:pPr>
        <w:spacing w:after="0" w:line="240" w:lineRule="auto"/>
        <w:jc w:val="both"/>
        <w:rPr/>
      </w:pP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C4">
      <w:pPr>
        <w:spacing w:after="0" w:line="240" w:lineRule="auto"/>
        <w:jc w:val="both"/>
        <w:rPr/>
      </w:pPr>
      <w:r w:rsidDel="00000000" w:rsidR="00000000" w:rsidRPr="00000000">
        <w:rPr>
          <w:rtl w:val="0"/>
        </w:rPr>
      </w:r>
    </w:p>
    <w:p w:rsidR="00000000" w:rsidDel="00000000" w:rsidP="00000000" w:rsidRDefault="00000000" w:rsidRPr="00000000" w14:paraId="000000C5">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C6">
      <w:pPr>
        <w:spacing w:after="0" w:line="240" w:lineRule="auto"/>
        <w:jc w:val="both"/>
        <w:rPr/>
      </w:pPr>
      <w:r w:rsidDel="00000000" w:rsidR="00000000" w:rsidRPr="00000000">
        <w:rPr>
          <w:rtl w:val="0"/>
        </w:rPr>
      </w:r>
    </w:p>
    <w:p w:rsidR="00000000" w:rsidDel="00000000" w:rsidP="00000000" w:rsidRDefault="00000000" w:rsidRPr="00000000" w14:paraId="000000C7">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CA">
      <w:pPr>
        <w:spacing w:after="0" w:line="240" w:lineRule="auto"/>
        <w:jc w:val="both"/>
        <w:rPr/>
      </w:pPr>
      <w:r w:rsidDel="00000000" w:rsidR="00000000" w:rsidRPr="00000000">
        <w:rPr>
          <w:rtl w:val="0"/>
        </w:rPr>
      </w:r>
    </w:p>
    <w:p w:rsidR="00000000" w:rsidDel="00000000" w:rsidP="00000000" w:rsidRDefault="00000000" w:rsidRPr="00000000" w14:paraId="000000CB">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CC">
      <w:pPr>
        <w:spacing w:after="0" w:line="240" w:lineRule="auto"/>
        <w:jc w:val="both"/>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D0">
      <w:pPr>
        <w:spacing w:after="0" w:line="240" w:lineRule="auto"/>
        <w:jc w:val="both"/>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D3">
      <w:pPr>
        <w:spacing w:after="0" w:line="240" w:lineRule="auto"/>
        <w:jc w:val="both"/>
        <w:rPr>
          <w:b w:val="1"/>
        </w:rPr>
      </w:pPr>
      <w:r w:rsidDel="00000000" w:rsidR="00000000" w:rsidRPr="00000000">
        <w:rPr>
          <w:rtl w:val="0"/>
        </w:rPr>
      </w:r>
    </w:p>
    <w:p w:rsidR="00000000" w:rsidDel="00000000" w:rsidP="00000000" w:rsidRDefault="00000000" w:rsidRPr="00000000" w14:paraId="000000D4">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D5">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D7">
      <w:pPr>
        <w:spacing w:after="0" w:line="240" w:lineRule="auto"/>
        <w:jc w:val="both"/>
        <w:rPr>
          <w:b w:val="1"/>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DA">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DC">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DD">
      <w:pPr>
        <w:spacing w:after="0" w:line="240" w:lineRule="auto"/>
        <w:jc w:val="both"/>
        <w:rPr>
          <w:b w:val="1"/>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D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E0">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E1">
      <w:pPr>
        <w:spacing w:after="0" w:line="240" w:lineRule="auto"/>
        <w:jc w:val="both"/>
        <w:rPr>
          <w:b w:val="1"/>
        </w:rPr>
      </w:pPr>
      <w:r w:rsidDel="00000000" w:rsidR="00000000" w:rsidRPr="00000000">
        <w:rPr>
          <w:rtl w:val="0"/>
        </w:rPr>
      </w:r>
    </w:p>
    <w:p w:rsidR="00000000" w:rsidDel="00000000" w:rsidP="00000000" w:rsidRDefault="00000000" w:rsidRPr="00000000" w14:paraId="000000E2">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E3">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E5">
      <w:pPr>
        <w:spacing w:after="0" w:line="240" w:lineRule="auto"/>
        <w:jc w:val="both"/>
        <w:rPr>
          <w:b w:val="1"/>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E7">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E8">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E9">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EA">
      <w:pPr>
        <w:spacing w:after="0" w:line="240" w:lineRule="auto"/>
        <w:jc w:val="both"/>
        <w:rPr/>
      </w:pPr>
      <w:r w:rsidDel="00000000" w:rsidR="00000000" w:rsidRPr="00000000">
        <w:rPr>
          <w:rtl w:val="0"/>
        </w:rPr>
      </w:r>
    </w:p>
    <w:p w:rsidR="00000000" w:rsidDel="00000000" w:rsidP="00000000" w:rsidRDefault="00000000" w:rsidRPr="00000000" w14:paraId="000000EB">
      <w:pPr>
        <w:spacing w:after="0" w:line="240" w:lineRule="auto"/>
        <w:jc w:val="both"/>
        <w:rPr>
          <w:b w:val="1"/>
        </w:rPr>
      </w:pP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ED">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EE">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EF">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F0">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F1">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F2">
      <w:pPr>
        <w:spacing w:after="0" w:line="240" w:lineRule="auto"/>
        <w:jc w:val="both"/>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F5">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F6">
      <w:pPr>
        <w:spacing w:after="0" w:line="240" w:lineRule="auto"/>
        <w:jc w:val="both"/>
        <w:rPr>
          <w:b w:val="1"/>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F9">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FA">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FB">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FC">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FD">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F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F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0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01">
      <w:pPr>
        <w:spacing w:after="0" w:line="240" w:lineRule="auto"/>
        <w:jc w:val="both"/>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0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04">
      <w:pPr>
        <w:spacing w:after="0" w:line="240" w:lineRule="auto"/>
        <w:jc w:val="both"/>
        <w:rPr/>
      </w:pPr>
      <w:r w:rsidDel="00000000" w:rsidR="00000000" w:rsidRPr="00000000">
        <w:rPr>
          <w:rtl w:val="0"/>
        </w:rPr>
      </w:r>
    </w:p>
    <w:p w:rsidR="00000000" w:rsidDel="00000000" w:rsidP="00000000" w:rsidRDefault="00000000" w:rsidRPr="00000000" w14:paraId="0000010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06">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07">
      <w:pPr>
        <w:spacing w:after="0" w:line="240" w:lineRule="auto"/>
        <w:jc w:val="both"/>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0A">
      <w:pPr>
        <w:spacing w:after="0" w:line="240" w:lineRule="auto"/>
        <w:jc w:val="both"/>
        <w:rPr>
          <w:b w:val="1"/>
        </w:rPr>
      </w:pPr>
      <w:r w:rsidDel="00000000" w:rsidR="00000000" w:rsidRPr="00000000">
        <w:rPr>
          <w:rtl w:val="0"/>
        </w:rPr>
      </w:r>
    </w:p>
    <w:p w:rsidR="00000000" w:rsidDel="00000000" w:rsidP="00000000" w:rsidRDefault="00000000" w:rsidRPr="00000000" w14:paraId="0000010B">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0D">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0E">
      <w:pPr>
        <w:spacing w:after="0" w:line="240" w:lineRule="auto"/>
        <w:jc w:val="both"/>
        <w:rPr>
          <w:b w:val="1"/>
        </w:rPr>
      </w:pPr>
      <w:r w:rsidDel="00000000" w:rsidR="00000000" w:rsidRPr="00000000">
        <w:rPr>
          <w:rtl w:val="0"/>
        </w:rPr>
      </w:r>
    </w:p>
    <w:p w:rsidR="00000000" w:rsidDel="00000000" w:rsidP="00000000" w:rsidRDefault="00000000" w:rsidRPr="00000000" w14:paraId="0000010F">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10">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11">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13">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14">
      <w:pPr>
        <w:spacing w:after="0" w:line="240" w:lineRule="auto"/>
        <w:jc w:val="both"/>
        <w:rPr>
          <w:b w:val="1"/>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16">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17">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mIFnzsAlupj7MPLt2ORoLmvcA==">CgMxLjAaHwoBMBIaChgICVIUChJ0YWJsZS54NmUwZDJ5YXF6MXAyCGguZ2pkZ3hzOAByITE5V0kzTmVmb1pIeGpGaGZGd25QVXc1WWRNQ19xZHIwYg==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