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EN TUS MANOS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510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ANTIGUA GUATEMALA - CHICHICASTENANGO - LAGO ATITLAN.</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810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580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510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370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860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690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400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940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660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490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1"/>
        </w:numPr>
        <w:spacing w:after="0" w:lineRule="auto"/>
        <w:ind w:left="720" w:hanging="360"/>
      </w:pPr>
      <w:r w:rsidDel="00000000" w:rsidR="00000000" w:rsidRPr="00000000">
        <w:rPr>
          <w:rtl w:val="0"/>
        </w:rPr>
        <w:t xml:space="preserve">4 noches de alojamiento en la Ciudad de Guatemala.           </w:t>
      </w:r>
    </w:p>
    <w:p w:rsidR="00000000" w:rsidDel="00000000" w:rsidP="00000000" w:rsidRDefault="00000000" w:rsidRPr="00000000" w14:paraId="00000022">
      <w:pPr>
        <w:numPr>
          <w:ilvl w:val="0"/>
          <w:numId w:val="1"/>
        </w:numPr>
        <w:spacing w:after="0" w:lineRule="auto"/>
        <w:ind w:left="720" w:hanging="360"/>
      </w:pPr>
      <w:r w:rsidDel="00000000" w:rsidR="00000000" w:rsidRPr="00000000">
        <w:rPr>
          <w:rtl w:val="0"/>
        </w:rPr>
        <w:t xml:space="preserve">4 desayunos americanos.                                                     </w:t>
      </w:r>
    </w:p>
    <w:p w:rsidR="00000000" w:rsidDel="00000000" w:rsidP="00000000" w:rsidRDefault="00000000" w:rsidRPr="00000000" w14:paraId="00000023">
      <w:pPr>
        <w:numPr>
          <w:ilvl w:val="0"/>
          <w:numId w:val="1"/>
        </w:numPr>
        <w:spacing w:after="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4">
      <w:pPr>
        <w:numPr>
          <w:ilvl w:val="0"/>
          <w:numId w:val="1"/>
        </w:numPr>
        <w:spacing w:after="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5">
      <w:pPr>
        <w:numPr>
          <w:ilvl w:val="0"/>
          <w:numId w:val="1"/>
        </w:numPr>
        <w:spacing w:after="0" w:lineRule="auto"/>
        <w:ind w:left="720" w:hanging="360"/>
      </w:pPr>
      <w:r w:rsidDel="00000000" w:rsidR="00000000" w:rsidRPr="00000000">
        <w:rPr>
          <w:rtl w:val="0"/>
        </w:rPr>
        <w:t xml:space="preserve">Bus de turismo con aire acondicionado.</w:t>
      </w:r>
    </w:p>
    <w:p w:rsidR="00000000" w:rsidDel="00000000" w:rsidP="00000000" w:rsidRDefault="00000000" w:rsidRPr="00000000" w14:paraId="00000026">
      <w:pPr>
        <w:numPr>
          <w:ilvl w:val="0"/>
          <w:numId w:val="1"/>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27">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numPr>
          <w:ilvl w:val="0"/>
          <w:numId w:val="1"/>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A">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2B">
      <w:pPr>
        <w:numPr>
          <w:ilvl w:val="0"/>
          <w:numId w:val="2"/>
        </w:numPr>
        <w:spacing w:after="0" w:line="240" w:lineRule="auto"/>
        <w:ind w:left="720" w:hanging="360"/>
        <w:jc w:val="both"/>
      </w:pPr>
      <w:r w:rsidDel="00000000" w:rsidR="00000000" w:rsidRPr="00000000">
        <w:rPr>
          <w:rtl w:val="0"/>
        </w:rPr>
        <w:t xml:space="preserve">Propinas (maleteros, Guía, Restaurante, etc.)</w:t>
      </w:r>
    </w:p>
    <w:p w:rsidR="00000000" w:rsidDel="00000000" w:rsidP="00000000" w:rsidRDefault="00000000" w:rsidRPr="00000000" w14:paraId="0000002C">
      <w:pPr>
        <w:numPr>
          <w:ilvl w:val="0"/>
          <w:numId w:val="2"/>
        </w:numPr>
        <w:spacing w:after="0" w:line="240" w:lineRule="auto"/>
        <w:ind w:left="720" w:hanging="360"/>
        <w:jc w:val="both"/>
      </w:pPr>
      <w:r w:rsidDel="00000000" w:rsidR="00000000" w:rsidRPr="00000000">
        <w:rPr>
          <w:rtl w:val="0"/>
        </w:rPr>
        <w:t xml:space="preserve">Excursiones Opcionales.</w:t>
      </w:r>
    </w:p>
    <w:p w:rsidR="00000000" w:rsidDel="00000000" w:rsidP="00000000" w:rsidRDefault="00000000" w:rsidRPr="00000000" w14:paraId="0000002D">
      <w:pPr>
        <w:numPr>
          <w:ilvl w:val="0"/>
          <w:numId w:val="2"/>
        </w:numPr>
        <w:spacing w:after="0" w:line="240" w:lineRule="auto"/>
        <w:ind w:left="720" w:hanging="360"/>
        <w:jc w:val="both"/>
        <w:rPr>
          <w:u w:val="none"/>
        </w:rPr>
      </w:pPr>
      <w:r w:rsidDel="00000000" w:rsidR="00000000" w:rsidRPr="00000000">
        <w:rPr>
          <w:rtl w:val="0"/>
        </w:rPr>
        <w:t xml:space="preserve">Tiquetes aéreos</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DÍA 01. VIERNES O MARTES. Ciudad de Guatemala. </w:t>
      </w:r>
    </w:p>
    <w:p w:rsidR="00000000" w:rsidDel="00000000" w:rsidP="00000000" w:rsidRDefault="00000000" w:rsidRPr="00000000" w14:paraId="00000031">
      <w:pPr>
        <w:spacing w:after="0" w:line="240" w:lineRule="auto"/>
        <w:jc w:val="both"/>
        <w:rPr>
          <w:b w:val="1"/>
        </w:rPr>
      </w:pPr>
      <w:r w:rsidDel="00000000" w:rsidR="00000000" w:rsidRPr="00000000">
        <w:rPr>
          <w:rtl w:val="0"/>
        </w:rPr>
        <w:t xml:space="preserve">Recepción en el Aeropuerto Internacional La Aurora y traslado al hotel a elegir.</w:t>
      </w: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b w:val="1"/>
        </w:rPr>
      </w:pPr>
      <w:r w:rsidDel="00000000" w:rsidR="00000000" w:rsidRPr="00000000">
        <w:rPr>
          <w:b w:val="1"/>
          <w:rtl w:val="0"/>
        </w:rPr>
        <w:t xml:space="preserve">DÍA 02. SÁBADO O MIÉRCOLES. Ciudad de Guatemala - Antigua Guatemala - Ciudad de Guatemala. </w:t>
      </w:r>
    </w:p>
    <w:p w:rsidR="00000000" w:rsidDel="00000000" w:rsidP="00000000" w:rsidRDefault="00000000" w:rsidRPr="00000000" w14:paraId="00000034">
      <w:pPr>
        <w:spacing w:after="0" w:lineRule="auto"/>
        <w:jc w:val="both"/>
        <w:rPr>
          <w:b w:val="1"/>
        </w:rPr>
      </w:pPr>
      <w:r w:rsidDel="00000000" w:rsidR="00000000" w:rsidRPr="00000000">
        <w:rPr>
          <w:rtl w:val="0"/>
        </w:rPr>
        <w:t xml:space="preserve">Desayuno americano. Los pasajeros abordarán el bus en el hotel y llevados a la Ciudad de Antigua Guatemala donde conocerán la Plaza Mayor, la Fábrica de Jade, Iglesias como: La Merced, San Francisco y la Catedral. Por la tarde conocerán los poblados de San Antonio Aguas Calientes y San Felipe de Jesús, así como la primera Catedral de Guatemala en Ciudad Vieja. (No incluye almuerzo). Retorno a Ciudad de Guatemala al hotel donde se hospedan. </w:t>
      </w: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DÍA 03. DOMINGO O JUEVES. Ciudad de Guatemala - Chichicastenango - Lago Atitlán - Ciudad de Guatemala. </w:t>
      </w:r>
    </w:p>
    <w:p w:rsidR="00000000" w:rsidDel="00000000" w:rsidP="00000000" w:rsidRDefault="00000000" w:rsidRPr="00000000" w14:paraId="00000037">
      <w:pPr>
        <w:spacing w:after="0" w:lineRule="auto"/>
        <w:jc w:val="both"/>
        <w:rPr/>
      </w:pPr>
      <w:r w:rsidDel="00000000" w:rsidR="00000000" w:rsidRPr="00000000">
        <w:rPr>
          <w:rtl w:val="0"/>
        </w:rPr>
        <w:t xml:space="preserve">Desayuno americano. Por la mañana los pasajeros abordaran el bus a la hora indicada en el hotel para salir hacia el pueblo de Chichicastenango. Allí podrán visitar la Iglesia de Santo Tomás y el famoso Mercado al aire libre en donde encontrarán artesanías, alfarería y textiles de las más variadas formas y colores.</w:t>
      </w:r>
    </w:p>
    <w:p w:rsidR="00000000" w:rsidDel="00000000" w:rsidP="00000000" w:rsidRDefault="00000000" w:rsidRPr="00000000" w14:paraId="00000038">
      <w:pPr>
        <w:spacing w:after="0" w:lineRule="auto"/>
        <w:jc w:val="both"/>
        <w:rPr/>
      </w:pPr>
      <w:r w:rsidDel="00000000" w:rsidR="00000000" w:rsidRPr="00000000">
        <w:rPr>
          <w:rtl w:val="0"/>
        </w:rPr>
        <w:t xml:space="preserve">Pasado el mediodía se trasladarán a uno de los más bellos lagos del mundo rodeado por tres volcanes: El Lago Atitlán. Después tendrán una corta visita a Panajachel, uno de los poblados más importantes que se encuentran alrededor del lago. </w:t>
      </w:r>
      <w:r w:rsidDel="00000000" w:rsidR="00000000" w:rsidRPr="00000000">
        <w:rPr>
          <w:b w:val="1"/>
          <w:i w:val="1"/>
          <w:rtl w:val="0"/>
        </w:rPr>
        <w:t xml:space="preserve">(No incluye almuerzo)</w:t>
      </w:r>
      <w:r w:rsidDel="00000000" w:rsidR="00000000" w:rsidRPr="00000000">
        <w:rPr>
          <w:rtl w:val="0"/>
        </w:rPr>
        <w:t xml:space="preserve">. Retorno al hotel en la Capital y fin de la excursión. Alojamiento.</w:t>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240" w:lineRule="auto"/>
        <w:jc w:val="both"/>
        <w:rPr>
          <w:b w:val="1"/>
        </w:rPr>
      </w:pPr>
      <w:r w:rsidDel="00000000" w:rsidR="00000000" w:rsidRPr="00000000">
        <w:rPr>
          <w:b w:val="1"/>
          <w:rtl w:val="0"/>
        </w:rPr>
        <w:t xml:space="preserve">DÍA 04. LUNES O VIERNES. Ciudad de Guatemala. </w:t>
      </w:r>
    </w:p>
    <w:p w:rsidR="00000000" w:rsidDel="00000000" w:rsidP="00000000" w:rsidRDefault="00000000" w:rsidRPr="00000000" w14:paraId="0000003B">
      <w:pPr>
        <w:spacing w:after="0" w:line="240" w:lineRule="auto"/>
        <w:jc w:val="both"/>
        <w:rPr/>
      </w:pPr>
      <w:r w:rsidDel="00000000" w:rsidR="00000000" w:rsidRPr="00000000">
        <w:rPr>
          <w:rtl w:val="0"/>
        </w:rPr>
        <w:t xml:space="preserve">Desayuno americano. Día Libre. </w:t>
      </w:r>
      <w:r w:rsidDel="00000000" w:rsidR="00000000" w:rsidRPr="00000000">
        <w:rPr>
          <w:b w:val="1"/>
          <w:rtl w:val="0"/>
        </w:rPr>
        <w:t xml:space="preserve">L</w:t>
      </w:r>
      <w:r w:rsidDel="00000000" w:rsidR="00000000" w:rsidRPr="00000000">
        <w:rPr>
          <w:b w:val="1"/>
          <w:i w:val="1"/>
          <w:rtl w:val="0"/>
        </w:rPr>
        <w:t xml:space="preserve">os pasajeros podrán tomar las excursiones opcionales como Tikal de 1 día, visita a la Ciudad de Guatemala día completo o Visita del Volcán de Pacaya</w:t>
      </w:r>
      <w:r w:rsidDel="00000000" w:rsidR="00000000" w:rsidRPr="00000000">
        <w:rPr>
          <w:b w:val="1"/>
          <w:rtl w:val="0"/>
        </w:rPr>
        <w:t xml:space="preserve">. </w:t>
      </w:r>
      <w:r w:rsidDel="00000000" w:rsidR="00000000" w:rsidRPr="00000000">
        <w:rPr>
          <w:rtl w:val="0"/>
        </w:rPr>
        <w:t xml:space="preserve">Alojamiento-</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DÍA 05. MARTES O SÁBADO. Ciudad de Guatemala. </w:t>
      </w:r>
    </w:p>
    <w:p w:rsidR="00000000" w:rsidDel="00000000" w:rsidP="00000000" w:rsidRDefault="00000000" w:rsidRPr="00000000" w14:paraId="0000003E">
      <w:pPr>
        <w:spacing w:after="0" w:line="240" w:lineRule="auto"/>
        <w:jc w:val="both"/>
        <w:rPr/>
      </w:pPr>
      <w:r w:rsidDel="00000000" w:rsidR="00000000" w:rsidRPr="00000000">
        <w:rPr>
          <w:rtl w:val="0"/>
        </w:rPr>
        <w:t xml:space="preserve">Desayuno americano. Traslado de salida del hotel al aeropuerto Internacional La Aurora. Fin de nuestros servicios.</w:t>
      </w:r>
    </w:p>
    <w:p w:rsidR="00000000" w:rsidDel="00000000" w:rsidP="00000000" w:rsidRDefault="00000000" w:rsidRPr="00000000" w14:paraId="0000003F">
      <w:pPr>
        <w:spacing w:after="0" w:line="240" w:lineRule="auto"/>
        <w:jc w:val="center"/>
        <w:rPr>
          <w:b w:val="1"/>
        </w:rPr>
      </w:pPr>
      <w:r w:rsidDel="00000000" w:rsidR="00000000" w:rsidRPr="00000000">
        <w:rPr>
          <w:rtl w:val="0"/>
        </w:rPr>
      </w:r>
    </w:p>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1">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2">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3">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4">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5">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Hotel Barceló</w:t>
                </w:r>
              </w:p>
            </w:tc>
          </w:tr>
        </w:tbl>
      </w:sdtContent>
    </w:sdt>
    <w:p w:rsidR="00000000" w:rsidDel="00000000" w:rsidP="00000000" w:rsidRDefault="00000000" w:rsidRPr="00000000" w14:paraId="00000049">
      <w:pPr>
        <w:spacing w:after="0" w:lineRule="auto"/>
        <w:rPr>
          <w:b w:val="1"/>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4B">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4C">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270 + Tarifa sencilla.</w:t>
      </w:r>
    </w:p>
    <w:p w:rsidR="00000000" w:rsidDel="00000000" w:rsidP="00000000" w:rsidRDefault="00000000" w:rsidRPr="00000000" w14:paraId="0000004D">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4E">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4F">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50">
      <w:pPr>
        <w:numPr>
          <w:ilvl w:val="0"/>
          <w:numId w:val="3"/>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51">
      <w:pPr>
        <w:numPr>
          <w:ilvl w:val="0"/>
          <w:numId w:val="3"/>
        </w:numPr>
        <w:spacing w:after="0" w:lineRule="auto"/>
        <w:ind w:left="720" w:hanging="360"/>
        <w:jc w:val="both"/>
      </w:pPr>
      <w:r w:rsidDel="00000000" w:rsidR="00000000" w:rsidRPr="00000000">
        <w:rPr>
          <w:rtl w:val="0"/>
        </w:rPr>
        <w:t xml:space="preserve">Se les recomienda a los pasajeros no cambiar dólares en el Aeropuerto Internacional La Aurora a su llegada a Guatemala, debido al bajo tipo de cambio.</w:t>
      </w:r>
    </w:p>
    <w:p w:rsidR="00000000" w:rsidDel="00000000" w:rsidP="00000000" w:rsidRDefault="00000000" w:rsidRPr="00000000" w14:paraId="00000052">
      <w:pPr>
        <w:numPr>
          <w:ilvl w:val="0"/>
          <w:numId w:val="3"/>
        </w:numPr>
        <w:spacing w:after="0" w:lineRule="auto"/>
        <w:ind w:left="720" w:hanging="360"/>
        <w:jc w:val="both"/>
      </w:pPr>
      <w:r w:rsidDel="00000000" w:rsidR="00000000" w:rsidRPr="00000000">
        <w:rPr>
          <w:rtl w:val="0"/>
        </w:rPr>
        <w:t xml:space="preserve">Para evitar inconvenientes con el cambio de divisa, asegúrese de que los billetes no estén manchados con sellos de casas de cambio, rotos o remendados.</w:t>
      </w: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A">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0">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2">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4">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6">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A">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2">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3">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7">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8">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9">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A">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E">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3">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4">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5">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6">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8">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9">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A">
      <w:pPr>
        <w:spacing w:after="0" w:lineRule="auto"/>
        <w:jc w:val="both"/>
        <w:rPr/>
      </w:pPr>
      <w:r w:rsidDel="00000000" w:rsidR="00000000" w:rsidRPr="00000000">
        <w:rPr>
          <w:rtl w:val="0"/>
        </w:rPr>
        <w:t xml:space="preserve"> </w:t>
      </w:r>
    </w:p>
    <w:p w:rsidR="00000000" w:rsidDel="00000000" w:rsidP="00000000" w:rsidRDefault="00000000" w:rsidRPr="00000000" w14:paraId="0000009B">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F">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0">
      <w:pPr>
        <w:spacing w:after="0" w:lineRule="auto"/>
        <w:jc w:val="both"/>
        <w:rPr>
          <w:b w:val="1"/>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3">
      <w:pPr>
        <w:spacing w:after="0" w:lineRule="auto"/>
        <w:jc w:val="both"/>
        <w:rPr>
          <w:b w:val="1"/>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6">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D">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dEEuDFJAtAc+ELfpuLJgjMYhw==">CgMxLjAaHwoBMBIaChgICVIUChJ0YWJsZS5mb3E2cnM3bjA4OHYyCGguZ2pkZ3hzOAByITFZTFdGQlY3OFBIYU80UXRtYjJ1VDdWdm5IeXA3cmVMWQ==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