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GUAJIRA RAPIDÍSIMA 02 DÍAS – 01 NOCHE</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$1.185.000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2.302.000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1.403.000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1.327.000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1.185.000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1 noche en el Cabo de la Vela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1 desayuno, 2 almuerzos, 1 cena.</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2">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310.79999999999995"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26">
      <w:pPr>
        <w:spacing w:after="0" w:lineRule="auto"/>
        <w:jc w:val="left"/>
        <w:rPr>
          <w:b w:val="1"/>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D">
      <w:pPr>
        <w:spacing w:after="0" w:lineRule="auto"/>
        <w:jc w:val="both"/>
        <w:rPr>
          <w:b w:val="1"/>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5GLBCw1nkSFsNFlbbu4qqgYEw==">CgMxLjAyCGguZ2pkZ3hzOAByITFsSEJZVzA2cTdCendrNXNQWXpNVEFRTEdqYUtnTXd3Ug==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